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1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年度</w:t>
      </w: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伊犁州霍城县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政府债务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决算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eastAsia="zh-CN"/>
        </w:rPr>
        <w:t>一、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年度政府债务限额总体情况</w:t>
      </w:r>
    </w:p>
    <w:p>
      <w:pPr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33.98亿元，其中一般债务限额19.45亿元，专项债务限额14.53亿元。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</w:t>
      </w:r>
      <w:r>
        <w:rPr>
          <w:rFonts w:hint="eastAsia" w:ascii="Times New Roman" w:hAnsi="Times New Roman" w:eastAsia="楷体_GB2312" w:cs="Times New Roman"/>
          <w:b/>
          <w:bCs/>
          <w:sz w:val="30"/>
          <w:szCs w:val="30"/>
          <w:lang w:val="en-US" w:eastAsia="zh-CN"/>
        </w:rPr>
        <w:t>政府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债务限额分类型情况。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1.一般债务限额总额情况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19.45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2.专项债务限额总额情况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政府专项债务限额总额为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14.53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（二）新增债务限额情况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1.新增一般债务限额情况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政府新增一般债务限额总额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亿元，其中：新增一般债务限额为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3.92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再融资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一般债务限额为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2.新增专项债务限额情况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政府新增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债务限额总额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二、202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年度政府债务余额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32.18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亿元，政府债务余额全部严格控制在限额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33.98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亿元内。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政府债务余额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32.18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亿元（一般债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18.06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亿元，专项债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14.12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亿元）。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18.06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（二）专项债务余额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决算数。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政府专项债务余额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决算数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14.12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三、202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年度政府债券发行使用情况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发行政府债券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9.07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，其中：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新增债券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8.42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widowControl/>
        <w:spacing w:line="520" w:lineRule="exact"/>
        <w:ind w:firstLine="753" w:firstLineChars="250"/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（一）新增一般债券发行使用情况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3.92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亿元，债券资金主要用于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其中：农村公路、污水处理、垃圾处理、饮水工程、其他农林水利建设等领域（详见附件2-3）。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债券期限分别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7年、10年、15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为3.29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%，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债券还本付息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通过一般公共预算收入偿还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snapToGrid/>
        <w:spacing w:before="0" w:beforeAutospacing="0" w:after="0" w:afterAutospacing="0" w:line="600" w:lineRule="exact"/>
        <w:ind w:firstLine="602" w:firstLineChars="200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（二）新增专项债券发行使用情况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发行新增专项债券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4.5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亿元，债券资金主要用于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产业园区基础设施、棚户区改造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领域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（详见附件2-3）。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券期限分别是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10年、15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为3.38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%，债券还本付息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通过对应项目取得的政府性基金或专项收入等偿还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（三）再融资债券发行使用情况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发行再融资债券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亿元（再融资一般债券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亿元、再融资专项债券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亿元），其中：上述债券资金全部用于偿还到期政府债券本金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债券期限分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别是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5年、7年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年期，债券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平均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利率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为3.27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四、202</w:t>
      </w: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  <w:t>年度政府债券还本付息情况</w:t>
      </w:r>
    </w:p>
    <w:p>
      <w:pPr>
        <w:widowControl/>
        <w:spacing w:line="560" w:lineRule="exact"/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1.85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，本金0.88亿元，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0.23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0.97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黑体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（一）一般债券还本付息情况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政府一般债券还本付息总额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1.42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本金0.82亿元，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0.17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0.65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default" w:ascii="楷体_GB2312" w:hAnsi="楷体_GB2312" w:eastAsia="楷体_GB2312" w:cs="楷体_GB2312"/>
          <w:b/>
          <w:bCs/>
          <w:sz w:val="30"/>
          <w:szCs w:val="30"/>
          <w:lang w:val="en-US" w:eastAsia="zh-CN"/>
        </w:rPr>
        <w:t>（二）专项债券还本付息情况</w:t>
      </w:r>
      <w:r>
        <w:rPr>
          <w:rFonts w:hint="eastAsia" w:ascii="楷体_GB2312" w:hAnsi="楷体_GB2312" w:eastAsia="楷体_GB2312" w:cs="楷体_GB2312"/>
          <w:b/>
          <w:bCs/>
          <w:sz w:val="30"/>
          <w:szCs w:val="30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霍城县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政府专项债券还本付息总额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0.43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本金0.06亿元，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0.06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再融资债券还本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财政预算安排付息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0.37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60" w:leftChars="284" w:hanging="864" w:hangingChars="3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附件：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1.1-1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一般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1-2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专项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债务限额、余额情况表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1-3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政府债务限额、余额（含一般债务限额、余额和专项债务限额、余额）情况表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.2-1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政府债券发行情况表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1491" w:leftChars="710" w:firstLine="0" w:firstLineChars="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2-2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伊犁州霍城县政府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债券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发行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明细表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新增债券使用情况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1440" w:firstLineChars="500"/>
        <w:jc w:val="both"/>
        <w:textAlignment w:val="auto"/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2-4 2021</w:t>
      </w:r>
      <w:r>
        <w:rPr>
          <w:rFonts w:hint="default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年度</w:t>
      </w:r>
      <w:r>
        <w:rPr>
          <w:rFonts w:hint="eastAsia" w:ascii="Times New Roman" w:hAnsi="Times New Roman" w:eastAsia="仿宋_GB2312" w:cs="Times New Roman"/>
          <w:spacing w:val="-6"/>
          <w:sz w:val="30"/>
          <w:szCs w:val="30"/>
          <w:lang w:val="en-US" w:eastAsia="zh-CN"/>
        </w:rPr>
        <w:t>伊犁州霍城县还本付息决算情况表</w:t>
      </w:r>
    </w:p>
    <w:sectPr>
      <w:footerReference r:id="rId3" w:type="default"/>
      <w:pgSz w:w="11906" w:h="16838"/>
      <w:pgMar w:top="2098" w:right="1587" w:bottom="187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B36FE2"/>
    <w:rsid w:val="04AD2225"/>
    <w:rsid w:val="063F2F9D"/>
    <w:rsid w:val="090B4E5B"/>
    <w:rsid w:val="0E25722D"/>
    <w:rsid w:val="0E8D4F6B"/>
    <w:rsid w:val="17F95835"/>
    <w:rsid w:val="182373F8"/>
    <w:rsid w:val="18823C8F"/>
    <w:rsid w:val="18D86125"/>
    <w:rsid w:val="1A911021"/>
    <w:rsid w:val="1C460386"/>
    <w:rsid w:val="1D57227F"/>
    <w:rsid w:val="2AB37734"/>
    <w:rsid w:val="2B0F4298"/>
    <w:rsid w:val="2FBE46FB"/>
    <w:rsid w:val="31D13988"/>
    <w:rsid w:val="325A2235"/>
    <w:rsid w:val="353C53B6"/>
    <w:rsid w:val="36B666B6"/>
    <w:rsid w:val="388F1457"/>
    <w:rsid w:val="47B72475"/>
    <w:rsid w:val="485E7AB6"/>
    <w:rsid w:val="49845097"/>
    <w:rsid w:val="4B080752"/>
    <w:rsid w:val="4DB47F12"/>
    <w:rsid w:val="50CE11ED"/>
    <w:rsid w:val="51D77DB9"/>
    <w:rsid w:val="53013412"/>
    <w:rsid w:val="59E94415"/>
    <w:rsid w:val="5EBE204C"/>
    <w:rsid w:val="61CE0116"/>
    <w:rsid w:val="6541174B"/>
    <w:rsid w:val="692F2D63"/>
    <w:rsid w:val="6ACF7A08"/>
    <w:rsid w:val="6B080355"/>
    <w:rsid w:val="70E57CED"/>
    <w:rsid w:val="7149137C"/>
    <w:rsid w:val="71827528"/>
    <w:rsid w:val="77BB7AC7"/>
    <w:rsid w:val="791768FB"/>
    <w:rsid w:val="7DB52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center"/>
    </w:pPr>
    <w:rPr>
      <w:rFonts w:asciiTheme="minorHAnsi" w:eastAsiaTheme="minorEastAsia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2021-07-28T09:41:00Z</dcterms:created>
  <dc:creator>Administrator</dc:creator>
  <cp:lastModifiedBy>Administrator</cp:lastModifiedBy>
  <dcterms:modified xsi:type="dcterms:W3CDTF">2022-08-25T09:13:39Z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